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F932D6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F932D6" w:rsidRPr="000162E0" w:rsidRDefault="00F932D6" w:rsidP="00F932D6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F932D6" w:rsidRPr="000162E0" w:rsidRDefault="00F932D6" w:rsidP="00F932D6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59BBEFD6" w14:textId="77777777" w:rsidR="00F932D6" w:rsidRPr="000162E0" w:rsidRDefault="00F932D6" w:rsidP="00F932D6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відкрита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полицями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і лотками</w:t>
                  </w:r>
                </w:p>
                <w:p w14:paraId="0AEB25BA" w14:textId="19ECC6E7" w:rsidR="00F932D6" w:rsidRPr="000162E0" w:rsidRDefault="00F932D6" w:rsidP="00F932D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2B973D72" wp14:editId="641D1AB9">
                        <wp:extent cx="1054100" cy="1738946"/>
                        <wp:effectExtent l="0" t="0" r="0" b="0"/>
                        <wp:docPr id="8" name="Рисунок 8" descr="Z:\Foto разное\Шафи\7703_bap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Z:\Foto разное\Шафи\7703_bap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044" cy="17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972304" w14:textId="77777777" w:rsidR="00F932D6" w:rsidRDefault="00F932D6" w:rsidP="00F932D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лотками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00273B4E" w14:textId="77777777" w:rsidR="00F932D6" w:rsidRDefault="00F932D6" w:rsidP="00F932D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7C1AD38F" w14:textId="77777777" w:rsidR="00F932D6" w:rsidRDefault="00F932D6" w:rsidP="00F932D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три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комплектуватись</w:t>
                  </w:r>
                  <w:proofErr w:type="spellEnd"/>
                  <w:r>
                    <w:t xml:space="preserve"> 20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лотками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Допускається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комплектація</w:t>
                  </w:r>
                  <w:proofErr w:type="spellEnd"/>
                  <w:r>
                    <w:t xml:space="preserve"> лотками </w:t>
                  </w:r>
                  <w:proofErr w:type="spellStart"/>
                  <w:r>
                    <w:t>двох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різних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типорозмірів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замовлення</w:t>
                  </w:r>
                  <w:proofErr w:type="spellEnd"/>
                  <w:r>
                    <w:t xml:space="preserve">.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ПВХ-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виконана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діапазоном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0 до 30 мм,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виставлення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>.</w:t>
                  </w:r>
                </w:p>
                <w:p w14:paraId="2C3305F2" w14:textId="77777777" w:rsidR="00F932D6" w:rsidRDefault="00F932D6" w:rsidP="00F932D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3C77D37B" w14:textId="77777777" w:rsidR="00F932D6" w:rsidRDefault="00F932D6" w:rsidP="00F932D6">
                  <w:pPr>
                    <w:pStyle w:val="ad"/>
                    <w:numPr>
                      <w:ilvl w:val="0"/>
                      <w:numId w:val="14"/>
                    </w:numPr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5BF8E2DC" w14:textId="77777777" w:rsidR="00F932D6" w:rsidRDefault="00F932D6" w:rsidP="00F932D6">
                  <w:pPr>
                    <w:pStyle w:val="ad"/>
                    <w:numPr>
                      <w:ilvl w:val="0"/>
                      <w:numId w:val="14"/>
                    </w:numPr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7623EF34" w14:textId="77777777" w:rsidR="00F932D6" w:rsidRDefault="00F932D6" w:rsidP="00F932D6">
                  <w:pPr>
                    <w:pStyle w:val="ad"/>
                    <w:numPr>
                      <w:ilvl w:val="0"/>
                      <w:numId w:val="14"/>
                    </w:numPr>
                    <w:spacing w:before="0" w:beforeAutospacing="0" w:after="0" w:afterAutospacing="0"/>
                  </w:pPr>
                  <w:r>
                    <w:t>Крайки: ПВХ 0,5 мм</w:t>
                  </w:r>
                </w:p>
                <w:p w14:paraId="5B9CA390" w14:textId="77777777" w:rsidR="00F932D6" w:rsidRDefault="00F932D6" w:rsidP="00F932D6">
                  <w:pPr>
                    <w:pStyle w:val="ad"/>
                    <w:numPr>
                      <w:ilvl w:val="0"/>
                      <w:numId w:val="14"/>
                    </w:numPr>
                    <w:spacing w:before="0" w:beforeAutospacing="0" w:after="0" w:afterAutospacing="0"/>
                  </w:pPr>
                  <w:r>
                    <w:t xml:space="preserve">Лотки: пластик,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</w:p>
                <w:p w14:paraId="233BA6F4" w14:textId="77777777" w:rsidR="00F932D6" w:rsidRDefault="00F932D6" w:rsidP="00F932D6">
                  <w:pPr>
                    <w:pStyle w:val="ad"/>
                    <w:numPr>
                      <w:ilvl w:val="0"/>
                      <w:numId w:val="14"/>
                    </w:numPr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428097BC" w14:textId="77777777" w:rsidR="00F932D6" w:rsidRDefault="00F932D6" w:rsidP="00F932D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</w:p>
                <w:p w14:paraId="5A49F0DF" w14:textId="77777777" w:rsidR="00F932D6" w:rsidRDefault="00F932D6" w:rsidP="00F932D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дефектів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Направляючі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легке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безпечне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жорстко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зафіксовані</w:t>
                  </w:r>
                  <w:proofErr w:type="spellEnd"/>
                  <w:r>
                    <w:t xml:space="preserve">, а </w:t>
                  </w:r>
                  <w:proofErr w:type="spellStart"/>
                  <w:r>
                    <w:t>їх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плавним</w:t>
                  </w:r>
                  <w:proofErr w:type="spellEnd"/>
                  <w:r>
                    <w:t xml:space="preserve"> і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.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стояння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навіть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підлозі</w:t>
                  </w:r>
                  <w:proofErr w:type="spellEnd"/>
                  <w:r>
                    <w:t>.</w:t>
                  </w:r>
                </w:p>
                <w:p w14:paraId="61AA723A" w14:textId="77777777" w:rsidR="00F932D6" w:rsidRDefault="00F932D6" w:rsidP="00F932D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4306CE7" w:rsidR="00F932D6" w:rsidRDefault="00F932D6" w:rsidP="00F932D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2025-07-02T17:48:00Z</dcterms:created>
  <dcterms:modified xsi:type="dcterms:W3CDTF">2025-07-02T17:48:00Z</dcterms:modified>
</cp:coreProperties>
</file>